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D" w:rsidRDefault="00DF35CA" w:rsidP="00BA6823">
      <w:pPr>
        <w:jc w:val="center"/>
        <w:rPr>
          <w:b/>
        </w:rPr>
      </w:pPr>
      <w:bookmarkStart w:id="0" w:name="_GoBack"/>
      <w:bookmarkEnd w:id="0"/>
      <w:r w:rsidRPr="00BA6823">
        <w:rPr>
          <w:b/>
        </w:rPr>
        <w:t>S</w:t>
      </w:r>
      <w:r w:rsidR="0017341D">
        <w:rPr>
          <w:b/>
        </w:rPr>
        <w:t>chool of Chemistry and Chemical Engineering</w:t>
      </w:r>
    </w:p>
    <w:p w:rsidR="00130D1E" w:rsidRPr="00BA6823" w:rsidRDefault="00DF35CA" w:rsidP="00BA6823">
      <w:pPr>
        <w:jc w:val="center"/>
        <w:rPr>
          <w:b/>
        </w:rPr>
      </w:pPr>
      <w:r w:rsidRPr="00BA6823">
        <w:rPr>
          <w:b/>
        </w:rPr>
        <w:t>Standard Operating Procedure for the Purchase and Use of Category 1 and Category 2 Drug Precursors.</w:t>
      </w:r>
    </w:p>
    <w:p w:rsidR="00DF35CA" w:rsidRDefault="00DF35CA"/>
    <w:p w:rsidR="00DF35CA" w:rsidRDefault="00DD1743">
      <w:r>
        <w:t>Companies who deal in precursor chemicals need to be licensed or registered with the Home Office.  The regulation of precursors covers 23 chemical substances divided into 3 categories:</w:t>
      </w:r>
    </w:p>
    <w:p w:rsidR="00DD1743" w:rsidRDefault="00DD1743">
      <w:r>
        <w:tab/>
        <w:t>Category 1- covers the most sensitive substances (the “key” drug precursors)</w:t>
      </w:r>
    </w:p>
    <w:p w:rsidR="00DD1743" w:rsidRDefault="00DD1743">
      <w:r>
        <w:tab/>
        <w:t>Category 2 – covers the less sensitive substances and precursors</w:t>
      </w:r>
    </w:p>
    <w:p w:rsidR="00DD1743" w:rsidRDefault="00DD1743" w:rsidP="00DD1743">
      <w:pPr>
        <w:ind w:left="720"/>
      </w:pPr>
      <w:r>
        <w:t>Category 3- covers bulk chemicals that can have different types of uses in the manufacturing process e.g. as f</w:t>
      </w:r>
      <w:r w:rsidR="0017341D">
        <w:t>eedstock, solvents or impurity</w:t>
      </w:r>
      <w:r>
        <w:t xml:space="preserve"> removers.</w:t>
      </w:r>
    </w:p>
    <w:p w:rsidR="00DD1743" w:rsidRDefault="00DD1743" w:rsidP="00DD1743">
      <w:r>
        <w:t xml:space="preserve">Licensing of UK operators is governed by Regulation </w:t>
      </w:r>
      <w:r w:rsidRPr="006B79F0">
        <w:rPr>
          <w:b/>
        </w:rPr>
        <w:t>(</w:t>
      </w:r>
      <w:r w:rsidR="006B79F0" w:rsidRPr="006B79F0">
        <w:rPr>
          <w:b/>
        </w:rPr>
        <w:t>EC</w:t>
      </w:r>
      <w:r w:rsidRPr="006B79F0">
        <w:rPr>
          <w:b/>
        </w:rPr>
        <w:t xml:space="preserve"> No 273/2004</w:t>
      </w:r>
      <w:r w:rsidR="006B79F0" w:rsidRPr="006B79F0">
        <w:rPr>
          <w:b/>
        </w:rPr>
        <w:t>)</w:t>
      </w:r>
      <w:r>
        <w:t xml:space="preserve"> of the European Parliament </w:t>
      </w:r>
      <w:r w:rsidR="006B79F0">
        <w:t>and Council of the EU. Th</w:t>
      </w:r>
      <w:r w:rsidR="00393F07">
        <w:t>e University and the School of C</w:t>
      </w:r>
      <w:r w:rsidR="006B79F0">
        <w:t>hemistry and Chemical Engineering has a duty in relation to trade in category 1 and 2 substances (listed below)</w:t>
      </w:r>
    </w:p>
    <w:p w:rsidR="006B79F0" w:rsidRPr="00393F07" w:rsidRDefault="006B79F0" w:rsidP="00393F07">
      <w:pPr>
        <w:ind w:left="720"/>
        <w:rPr>
          <w:color w:val="FF0000"/>
        </w:rPr>
      </w:pPr>
      <w:r w:rsidRPr="00393F07">
        <w:rPr>
          <w:u w:val="single"/>
        </w:rPr>
        <w:t>Category 1 Substances</w:t>
      </w:r>
      <w:r>
        <w:t xml:space="preserve"> (include the following in pure form or mixtures)</w:t>
      </w:r>
      <w:r w:rsidR="00393F07">
        <w:t xml:space="preserve"> </w:t>
      </w:r>
      <w:r w:rsidR="00393F07" w:rsidRPr="00393F07">
        <w:rPr>
          <w:color w:val="FF0000"/>
        </w:rPr>
        <w:t>REQUIRE A VALID LICENSE</w:t>
      </w:r>
    </w:p>
    <w:p w:rsidR="006B79F0" w:rsidRDefault="006B79F0" w:rsidP="00DD1743">
      <w:r>
        <w:tab/>
      </w:r>
      <w:r w:rsidRPr="00B47873">
        <w:rPr>
          <w:b/>
        </w:rPr>
        <w:t>NAME</w:t>
      </w:r>
      <w:r w:rsidRPr="00B478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F07">
        <w:rPr>
          <w:b/>
        </w:rPr>
        <w:t>CN Code</w:t>
      </w:r>
    </w:p>
    <w:p w:rsidR="006B79F0" w:rsidRDefault="006B79F0" w:rsidP="00DD1743">
      <w:r>
        <w:tab/>
        <w:t xml:space="preserve">Ephedrine </w:t>
      </w:r>
      <w:r>
        <w:tab/>
      </w:r>
      <w:r>
        <w:tab/>
      </w:r>
      <w:r>
        <w:tab/>
      </w:r>
      <w:r>
        <w:tab/>
      </w:r>
      <w:r>
        <w:tab/>
      </w:r>
      <w:r>
        <w:tab/>
        <w:t>2924</w:t>
      </w:r>
      <w:r w:rsidR="00B47873">
        <w:t>100</w:t>
      </w:r>
    </w:p>
    <w:p w:rsidR="006B79F0" w:rsidRDefault="006B79F0" w:rsidP="00DD1743">
      <w:r>
        <w:tab/>
        <w:t>Piperonal</w:t>
      </w:r>
      <w:r>
        <w:tab/>
      </w:r>
      <w:r>
        <w:tab/>
      </w:r>
      <w:r>
        <w:tab/>
      </w:r>
      <w:r>
        <w:tab/>
      </w:r>
      <w:r>
        <w:tab/>
      </w:r>
      <w:r>
        <w:tab/>
        <w:t>29329300</w:t>
      </w:r>
    </w:p>
    <w:p w:rsidR="006B79F0" w:rsidRDefault="006B79F0" w:rsidP="00DD1743">
      <w:r>
        <w:tab/>
        <w:t>Norephedrine</w:t>
      </w:r>
      <w:r>
        <w:tab/>
      </w:r>
      <w:r>
        <w:tab/>
      </w:r>
      <w:r>
        <w:tab/>
      </w:r>
      <w:r>
        <w:tab/>
      </w:r>
      <w:r>
        <w:tab/>
      </w:r>
      <w:r>
        <w:tab/>
        <w:t>29394900</w:t>
      </w:r>
    </w:p>
    <w:p w:rsidR="006B79F0" w:rsidRDefault="006B79F0" w:rsidP="00DD1743">
      <w:r>
        <w:tab/>
        <w:t>Pseudoephedrine</w:t>
      </w:r>
      <w:r>
        <w:tab/>
      </w:r>
      <w:r>
        <w:tab/>
      </w:r>
      <w:r>
        <w:tab/>
      </w:r>
      <w:r>
        <w:tab/>
      </w:r>
      <w:r>
        <w:tab/>
        <w:t>29394200</w:t>
      </w:r>
    </w:p>
    <w:p w:rsidR="006B79F0" w:rsidRDefault="006B79F0" w:rsidP="00DD1743">
      <w:r>
        <w:tab/>
        <w:t>Ergometrine</w:t>
      </w:r>
      <w:r>
        <w:tab/>
      </w:r>
      <w:r>
        <w:tab/>
      </w:r>
      <w:r>
        <w:tab/>
      </w:r>
      <w:r>
        <w:tab/>
      </w:r>
      <w:r>
        <w:tab/>
      </w:r>
      <w:r>
        <w:tab/>
        <w:t>29396100</w:t>
      </w:r>
    </w:p>
    <w:p w:rsidR="006B79F0" w:rsidRDefault="006B79F0" w:rsidP="00DD1743">
      <w:r>
        <w:tab/>
        <w:t>Ergotamine</w:t>
      </w:r>
      <w:r>
        <w:tab/>
      </w:r>
      <w:r>
        <w:tab/>
      </w:r>
      <w:r>
        <w:tab/>
      </w:r>
      <w:r>
        <w:tab/>
      </w:r>
      <w:r>
        <w:tab/>
      </w:r>
      <w:r>
        <w:tab/>
        <w:t>29396200</w:t>
      </w:r>
    </w:p>
    <w:p w:rsidR="006B79F0" w:rsidRDefault="006B79F0" w:rsidP="00DD1743">
      <w:r>
        <w:tab/>
        <w:t>Lysergic Acid</w:t>
      </w:r>
      <w:r>
        <w:tab/>
      </w:r>
      <w:r>
        <w:tab/>
      </w:r>
      <w:r>
        <w:tab/>
      </w:r>
      <w:r>
        <w:tab/>
      </w:r>
      <w:r>
        <w:tab/>
      </w:r>
      <w:r>
        <w:tab/>
        <w:t>29396300</w:t>
      </w:r>
      <w:r>
        <w:tab/>
      </w:r>
    </w:p>
    <w:p w:rsidR="006B79F0" w:rsidRDefault="006B79F0" w:rsidP="00DD1743">
      <w:r>
        <w:tab/>
        <w:t>1 Phenyl-2-Propanone</w:t>
      </w:r>
      <w:r>
        <w:tab/>
      </w:r>
      <w:r>
        <w:tab/>
      </w:r>
      <w:r>
        <w:tab/>
      </w:r>
      <w:r>
        <w:tab/>
      </w:r>
      <w:r>
        <w:tab/>
        <w:t>29143100</w:t>
      </w:r>
    </w:p>
    <w:p w:rsidR="006B79F0" w:rsidRDefault="006B79F0" w:rsidP="00DD1743">
      <w:r>
        <w:tab/>
        <w:t>N Acetylanthranilic Acid</w:t>
      </w:r>
      <w:r>
        <w:tab/>
      </w:r>
      <w:r>
        <w:tab/>
      </w:r>
      <w:r>
        <w:tab/>
      </w:r>
      <w:r>
        <w:tab/>
      </w:r>
      <w:r>
        <w:tab/>
        <w:t>29242300</w:t>
      </w:r>
    </w:p>
    <w:p w:rsidR="006B79F0" w:rsidRDefault="006B79F0" w:rsidP="006B79F0">
      <w:pPr>
        <w:ind w:firstLine="720"/>
      </w:pPr>
      <w:r>
        <w:t>3-4 Methylenedioxy-phenylpropan-2-</w:t>
      </w:r>
      <w:r w:rsidR="0017341D">
        <w:t>one (</w:t>
      </w:r>
      <w:r>
        <w:t>PMK)</w:t>
      </w:r>
      <w:r>
        <w:tab/>
      </w:r>
      <w:r>
        <w:tab/>
        <w:t>29329200</w:t>
      </w:r>
    </w:p>
    <w:p w:rsidR="006B79F0" w:rsidRDefault="006B79F0" w:rsidP="006B79F0">
      <w:pPr>
        <w:ind w:firstLine="720"/>
      </w:pPr>
      <w:r>
        <w:t>Isosafrole</w:t>
      </w:r>
      <w:r w:rsidR="00B47873">
        <w:tab/>
      </w:r>
      <w:r w:rsidR="00B47873">
        <w:tab/>
      </w:r>
      <w:r w:rsidR="00B47873">
        <w:tab/>
      </w:r>
      <w:r w:rsidR="00B47873">
        <w:tab/>
      </w:r>
      <w:r w:rsidR="00B47873">
        <w:tab/>
      </w:r>
      <w:r w:rsidR="00B47873">
        <w:tab/>
        <w:t>29329100</w:t>
      </w:r>
    </w:p>
    <w:p w:rsidR="00B47873" w:rsidRDefault="00B47873" w:rsidP="006B79F0">
      <w:pPr>
        <w:ind w:firstLine="720"/>
      </w:pPr>
      <w:r>
        <w:t>Saffrole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29329400</w:t>
      </w:r>
    </w:p>
    <w:p w:rsidR="00393F07" w:rsidRDefault="00393F07" w:rsidP="00DD1743">
      <w:r>
        <w:t>The School MUST hold a valid license and complete a customer declaration form (declaration of Specific Uses form) BEFORE a chemical supplier can provide any of the above substances to the School</w:t>
      </w:r>
    </w:p>
    <w:p w:rsidR="00393F07" w:rsidRDefault="00393F07" w:rsidP="00DD1743">
      <w:r>
        <w:lastRenderedPageBreak/>
        <w:tab/>
      </w:r>
    </w:p>
    <w:p w:rsidR="00393F07" w:rsidRDefault="00393F07" w:rsidP="00DD1743">
      <w:r w:rsidRPr="00393F07">
        <w:rPr>
          <w:u w:val="single"/>
        </w:rPr>
        <w:t>Category 2 Substances</w:t>
      </w:r>
      <w:r w:rsidRPr="00393F07">
        <w:t xml:space="preserve">       Li</w:t>
      </w:r>
      <w:r>
        <w:t>cense not required</w:t>
      </w:r>
    </w:p>
    <w:p w:rsidR="00E86417" w:rsidRPr="00393F07" w:rsidRDefault="00E86417" w:rsidP="00DD1743">
      <w:r w:rsidRPr="00B47873">
        <w:rPr>
          <w:b/>
        </w:rPr>
        <w:t>NAME</w:t>
      </w:r>
      <w:r w:rsidRPr="00B4787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CN Code</w:t>
      </w:r>
    </w:p>
    <w:p w:rsidR="00393F07" w:rsidRDefault="00393F07" w:rsidP="00DD1743">
      <w:r>
        <w:t>Acetic Anhydride</w:t>
      </w:r>
      <w:r w:rsidR="00E86417">
        <w:tab/>
      </w:r>
      <w:r w:rsidR="00E86417">
        <w:tab/>
      </w:r>
      <w:r w:rsidR="00E86417">
        <w:tab/>
      </w:r>
      <w:r w:rsidR="00E86417">
        <w:tab/>
      </w:r>
      <w:r w:rsidR="00E86417">
        <w:tab/>
        <w:t>29152400</w:t>
      </w:r>
    </w:p>
    <w:p w:rsidR="00393F07" w:rsidRDefault="00393F07" w:rsidP="00DD1743">
      <w:r>
        <w:t>Phenylacetic Acid</w:t>
      </w:r>
      <w:r w:rsidR="00E86417">
        <w:tab/>
      </w:r>
      <w:r w:rsidR="00E86417">
        <w:tab/>
      </w:r>
      <w:r w:rsidR="00E86417">
        <w:tab/>
      </w:r>
      <w:r w:rsidR="00E86417">
        <w:tab/>
      </w:r>
      <w:r w:rsidR="00E86417">
        <w:tab/>
        <w:t>29163400</w:t>
      </w:r>
    </w:p>
    <w:p w:rsidR="00393F07" w:rsidRDefault="00393F07" w:rsidP="00DD1743">
      <w:r>
        <w:t>Anthranilic Acid</w:t>
      </w:r>
      <w:r w:rsidR="00E86417">
        <w:tab/>
      </w:r>
      <w:r w:rsidR="00E86417">
        <w:tab/>
      </w:r>
      <w:r w:rsidR="00E86417">
        <w:tab/>
      </w:r>
      <w:r w:rsidR="00E86417">
        <w:tab/>
      </w:r>
      <w:r w:rsidR="00E86417">
        <w:tab/>
      </w:r>
      <w:r w:rsidR="00E86417">
        <w:tab/>
        <w:t>29224300</w:t>
      </w:r>
    </w:p>
    <w:p w:rsidR="00393F07" w:rsidRDefault="00393F07" w:rsidP="00DD1743">
      <w:r>
        <w:t>Piperidine</w:t>
      </w:r>
      <w:r w:rsidR="00E86417">
        <w:tab/>
      </w:r>
      <w:r w:rsidR="00E86417">
        <w:tab/>
      </w:r>
      <w:r w:rsidR="00E86417">
        <w:tab/>
      </w:r>
      <w:r w:rsidR="00E86417">
        <w:tab/>
      </w:r>
      <w:r w:rsidR="00E86417">
        <w:tab/>
      </w:r>
      <w:r w:rsidR="00E86417">
        <w:tab/>
      </w:r>
      <w:r w:rsidR="004A1A1A">
        <w:t>29333200</w:t>
      </w:r>
    </w:p>
    <w:p w:rsidR="00393F07" w:rsidRDefault="00393F07" w:rsidP="00DD1743">
      <w:r>
        <w:t>Potassium Permanganate</w:t>
      </w:r>
      <w:r w:rsidR="004A1A1A">
        <w:tab/>
      </w:r>
      <w:r w:rsidR="004A1A1A">
        <w:tab/>
      </w:r>
      <w:r w:rsidR="004A1A1A">
        <w:tab/>
      </w:r>
      <w:r w:rsidR="004A1A1A">
        <w:tab/>
        <w:t>28416100</w:t>
      </w:r>
    </w:p>
    <w:p w:rsidR="00746E8D" w:rsidRDefault="00746E8D" w:rsidP="00746E8D">
      <w:r>
        <w:t>Customer declaration form (declaration of Specific Uses form) BEFORE a chemical supplier can provide any of the above substances to the School</w:t>
      </w:r>
      <w:r w:rsidR="006B579E">
        <w:t>.</w:t>
      </w:r>
    </w:p>
    <w:p w:rsidR="00B120EE" w:rsidRPr="00B120EE" w:rsidRDefault="00B120EE" w:rsidP="00746E8D">
      <w:pPr>
        <w:rPr>
          <w:b/>
        </w:rPr>
      </w:pPr>
      <w:r w:rsidRPr="00B120EE">
        <w:rPr>
          <w:b/>
        </w:rPr>
        <w:t>Ordering Procedure</w:t>
      </w:r>
    </w:p>
    <w:p w:rsidR="006B579E" w:rsidRDefault="006B579E" w:rsidP="00746E8D">
      <w:r>
        <w:t>All those</w:t>
      </w:r>
      <w:r w:rsidR="00F86A19">
        <w:t xml:space="preserve"> who wish to purchase either a C</w:t>
      </w:r>
      <w:r>
        <w:t>at</w:t>
      </w:r>
      <w:r w:rsidR="0017341D">
        <w:t xml:space="preserve"> </w:t>
      </w:r>
      <w:r>
        <w:t>1or</w:t>
      </w:r>
      <w:r w:rsidR="0017341D">
        <w:t xml:space="preserve"> Cat </w:t>
      </w:r>
      <w:r>
        <w:t xml:space="preserve"> 2 drug </w:t>
      </w:r>
      <w:r w:rsidR="00F86A19">
        <w:t xml:space="preserve">precursor must do so using the Stores Order Request Form:          </w:t>
      </w:r>
      <w:hyperlink r:id="rId7" w:history="1">
        <w:r w:rsidR="00F86A19" w:rsidRPr="00113674">
          <w:rPr>
            <w:rStyle w:val="Hyperlink"/>
          </w:rPr>
          <w:t>http://www.ch.qub.ac.uk/qubonly/forms/forms.html</w:t>
        </w:r>
      </w:hyperlink>
    </w:p>
    <w:p w:rsidR="0080477B" w:rsidRDefault="0080477B" w:rsidP="0080477B">
      <w:r>
        <w:t>The Store Manager will</w:t>
      </w:r>
      <w:r w:rsidR="0069591D">
        <w:t xml:space="preserve"> notify the School Safety officer of the intention to purchase</w:t>
      </w:r>
      <w:r>
        <w:t xml:space="preserve"> Cat 1 or cat 2 drug precursors.  Upon approval and issu</w:t>
      </w:r>
      <w:r w:rsidR="0017341D">
        <w:t>ing of the license number (for C</w:t>
      </w:r>
      <w:r>
        <w:t>at 1 drug precursors) the order will proceed</w:t>
      </w:r>
      <w:r w:rsidR="0017341D">
        <w:t xml:space="preserve"> and be sent </w:t>
      </w:r>
      <w:r>
        <w:t xml:space="preserve"> to the Chemical Supplier.</w:t>
      </w:r>
    </w:p>
    <w:p w:rsidR="0069591D" w:rsidRDefault="0080477B" w:rsidP="00746E8D">
      <w:r>
        <w:t xml:space="preserve"> Upon receipt of the request form the Chemical Supplier will provide the Stores manager with a customer declaration of specific use(s) of the scheduled category 1 or 2 substances which MUST be completed by the end user and returned to the supplier on headed paper.</w:t>
      </w:r>
    </w:p>
    <w:p w:rsidR="00B120EE" w:rsidRDefault="0080477B" w:rsidP="00746E8D">
      <w:r>
        <w:t>Deliveries from the Chemical S</w:t>
      </w:r>
      <w:r w:rsidR="0017341D">
        <w:t>upplier of C</w:t>
      </w:r>
      <w:r w:rsidR="00B120EE">
        <w:t>at</w:t>
      </w:r>
      <w:r w:rsidR="0017341D">
        <w:t xml:space="preserve"> </w:t>
      </w:r>
      <w:r w:rsidR="00B120EE">
        <w:t>1 and</w:t>
      </w:r>
      <w:r w:rsidR="0017341D">
        <w:t xml:space="preserve"> Cat</w:t>
      </w:r>
      <w:r w:rsidR="00B120EE">
        <w:t xml:space="preserve"> 2 drug precursors will be made directly to the Chemistry Stores with</w:t>
      </w:r>
      <w:r w:rsidR="00C429DA">
        <w:t xml:space="preserve"> a copy </w:t>
      </w:r>
      <w:r w:rsidR="00881D3C">
        <w:t>of the</w:t>
      </w:r>
      <w:r w:rsidR="00B120EE">
        <w:t xml:space="preserve"> customer declaration form attached.</w:t>
      </w:r>
      <w:r w:rsidR="0017341D" w:rsidRPr="0017341D">
        <w:t xml:space="preserve"> </w:t>
      </w:r>
      <w:r w:rsidR="0017341D">
        <w:t xml:space="preserve">The Stores Manager will notify the end user via email when their delivery arrives and arrangements can be made to pick up the said item/s.  </w:t>
      </w:r>
    </w:p>
    <w:p w:rsidR="00B120EE" w:rsidRDefault="00B120EE" w:rsidP="00746E8D">
      <w:r w:rsidRPr="00C429DA">
        <w:rPr>
          <w:color w:val="FF0000"/>
        </w:rPr>
        <w:t xml:space="preserve">Please note </w:t>
      </w:r>
      <w:r>
        <w:t xml:space="preserve">– Cat 1 drug precursors </w:t>
      </w:r>
      <w:r w:rsidR="0069591D" w:rsidRPr="00C429DA">
        <w:rPr>
          <w:b/>
        </w:rPr>
        <w:t>WILL</w:t>
      </w:r>
      <w:r w:rsidRPr="00C429DA">
        <w:rPr>
          <w:b/>
        </w:rPr>
        <w:t xml:space="preserve"> NOT</w:t>
      </w:r>
      <w:r>
        <w:t xml:space="preserve"> be placed in the communal lockers in room LG</w:t>
      </w:r>
      <w:r w:rsidR="0069591D">
        <w:t>418</w:t>
      </w:r>
      <w:r>
        <w:t xml:space="preserve"> </w:t>
      </w:r>
      <w:r w:rsidR="0069591D">
        <w:t xml:space="preserve">and </w:t>
      </w:r>
      <w:r w:rsidR="0069591D" w:rsidRPr="0069591D">
        <w:rPr>
          <w:u w:val="single"/>
        </w:rPr>
        <w:t>WILL ONLY</w:t>
      </w:r>
      <w:r w:rsidR="0069591D">
        <w:t xml:space="preserve"> be given to the end user in </w:t>
      </w:r>
      <w:r w:rsidR="001B5243">
        <w:t>person upon</w:t>
      </w:r>
      <w:r w:rsidR="00C429DA">
        <w:t xml:space="preserve"> proof </w:t>
      </w:r>
      <w:r w:rsidR="001B5243">
        <w:t>of a</w:t>
      </w:r>
      <w:r w:rsidR="0069591D">
        <w:t xml:space="preserve"> valid</w:t>
      </w:r>
      <w:r w:rsidR="00C429DA">
        <w:t xml:space="preserve"> </w:t>
      </w:r>
      <w:r w:rsidR="001B5243">
        <w:t>Queens’s staff</w:t>
      </w:r>
      <w:r w:rsidR="0069591D">
        <w:t xml:space="preserve"> card.  The end user must also sign the order form stating that the goods have been received.</w:t>
      </w:r>
    </w:p>
    <w:p w:rsidR="0069591D" w:rsidRPr="00C429DA" w:rsidRDefault="0069591D" w:rsidP="00C429DA">
      <w:pPr>
        <w:ind w:left="720"/>
        <w:rPr>
          <w:i/>
        </w:rPr>
      </w:pPr>
      <w:r w:rsidRPr="00C429DA">
        <w:rPr>
          <w:i/>
        </w:rPr>
        <w:t>Cat 2 drug precursors do not need to be signed for but records of usage need to be maintained as part of the annual auditing returns</w:t>
      </w:r>
    </w:p>
    <w:p w:rsidR="0069591D" w:rsidRPr="00764F9E" w:rsidRDefault="0069591D" w:rsidP="00746E8D">
      <w:pPr>
        <w:rPr>
          <w:b/>
        </w:rPr>
      </w:pPr>
      <w:r w:rsidRPr="00764F9E">
        <w:rPr>
          <w:b/>
        </w:rPr>
        <w:t>Storage and Usage Procedure</w:t>
      </w:r>
    </w:p>
    <w:p w:rsidR="0069591D" w:rsidRDefault="0069591D" w:rsidP="00746E8D">
      <w:r>
        <w:t xml:space="preserve">All Cat 1 drug precursors MUST BE stored in a secure and preferably locked area with access restrictions in place </w:t>
      </w:r>
      <w:r w:rsidRPr="00C429DA">
        <w:rPr>
          <w:u w:val="single"/>
        </w:rPr>
        <w:t>except</w:t>
      </w:r>
      <w:r>
        <w:t xml:space="preserve"> for authorised personnel.</w:t>
      </w:r>
    </w:p>
    <w:p w:rsidR="008F289C" w:rsidRDefault="008F289C" w:rsidP="00746E8D">
      <w:r>
        <w:t>If the drug precursor needs to be refrigerated then the fridge needs to be in a secure, locked area with restricted access.</w:t>
      </w:r>
    </w:p>
    <w:p w:rsidR="008F289C" w:rsidRDefault="008F289C" w:rsidP="00746E8D">
      <w:r>
        <w:lastRenderedPageBreak/>
        <w:t xml:space="preserve">A sign out procedure MUST be in place when using ANY Cat 1 drug precursor- this can take the form of a book with quantities of initial drug precursor, quantity used and by </w:t>
      </w:r>
      <w:r w:rsidR="00881D3C">
        <w:t>whom dated</w:t>
      </w:r>
      <w:r>
        <w:t xml:space="preserve"> and signed EVERY time the drug precursor is used.  This record MUST be ke</w:t>
      </w:r>
      <w:r w:rsidR="0017341D">
        <w:t>pt</w:t>
      </w:r>
      <w:r>
        <w:t xml:space="preserve"> along with</w:t>
      </w:r>
      <w:r w:rsidR="00881D3C">
        <w:t xml:space="preserve"> or close </w:t>
      </w:r>
      <w:r w:rsidR="00744B47">
        <w:t>to the</w:t>
      </w:r>
      <w:r>
        <w:t xml:space="preserve"> drug precursor and be available for inspection upon request or during Safety Inspections.</w:t>
      </w:r>
    </w:p>
    <w:p w:rsidR="008F289C" w:rsidRDefault="00B92374" w:rsidP="00746E8D">
      <w:r>
        <w:t>The Schoo</w:t>
      </w:r>
      <w:r w:rsidR="008F289C">
        <w:t>l will be required to provide an annual return to Safety Services of acquisition, usage and disposal- this normally takes place in January of every year.</w:t>
      </w:r>
    </w:p>
    <w:p w:rsidR="008F289C" w:rsidRDefault="008F289C" w:rsidP="00746E8D">
      <w:pPr>
        <w:rPr>
          <w:b/>
        </w:rPr>
      </w:pPr>
      <w:r w:rsidRPr="008F289C">
        <w:rPr>
          <w:b/>
        </w:rPr>
        <w:t>Reporting Theft or Loss</w:t>
      </w:r>
      <w:r>
        <w:rPr>
          <w:b/>
        </w:rPr>
        <w:t xml:space="preserve"> or any adverse incident involving a </w:t>
      </w:r>
      <w:r w:rsidRPr="008F289C">
        <w:rPr>
          <w:b/>
        </w:rPr>
        <w:t xml:space="preserve">Cat 1 </w:t>
      </w:r>
      <w:r w:rsidR="0017341D">
        <w:rPr>
          <w:b/>
        </w:rPr>
        <w:t>s</w:t>
      </w:r>
      <w:r w:rsidRPr="008F289C">
        <w:rPr>
          <w:b/>
        </w:rPr>
        <w:t>ubstance</w:t>
      </w:r>
    </w:p>
    <w:p w:rsidR="008C0689" w:rsidRDefault="008F289C" w:rsidP="00746E8D">
      <w:r w:rsidRPr="008F289C">
        <w:t xml:space="preserve">The end user is responsible for </w:t>
      </w:r>
      <w:r>
        <w:t xml:space="preserve">maintaining the sign out procedure for </w:t>
      </w:r>
      <w:r w:rsidR="0017341D">
        <w:t>C</w:t>
      </w:r>
      <w:r>
        <w:t>at 1 substances and as such is obliged to inform the School Safety Officer</w:t>
      </w:r>
      <w:r w:rsidR="008C0689">
        <w:t xml:space="preserve"> as soon as possible of any unexplained loss or theft of such.  The </w:t>
      </w:r>
      <w:r w:rsidR="00B92374">
        <w:t>S</w:t>
      </w:r>
      <w:r w:rsidR="00C5594F">
        <w:t>afety Officer will then inform S</w:t>
      </w:r>
      <w:r w:rsidR="008C0689">
        <w:t>afety Service</w:t>
      </w:r>
      <w:r w:rsidR="00B92374">
        <w:t xml:space="preserve">s and the Home Office </w:t>
      </w:r>
      <w:r w:rsidR="00881D3C">
        <w:t>using the</w:t>
      </w:r>
      <w:r w:rsidR="00B92374">
        <w:t xml:space="preserve"> appropriate Notification Form </w:t>
      </w:r>
      <w:r w:rsidR="00881D3C">
        <w:t>(page</w:t>
      </w:r>
      <w:r w:rsidR="00B92374">
        <w:t xml:space="preserve"> 4).</w:t>
      </w:r>
    </w:p>
    <w:p w:rsidR="00B92374" w:rsidRDefault="00B92374" w:rsidP="00746E8D">
      <w:pPr>
        <w:rPr>
          <w:b/>
        </w:rPr>
      </w:pPr>
      <w:r w:rsidRPr="00B92374">
        <w:rPr>
          <w:b/>
        </w:rPr>
        <w:t xml:space="preserve">Disposal of Cat 1 </w:t>
      </w:r>
      <w:r w:rsidR="0017341D">
        <w:rPr>
          <w:b/>
        </w:rPr>
        <w:t>s</w:t>
      </w:r>
      <w:r w:rsidRPr="00B92374">
        <w:rPr>
          <w:b/>
        </w:rPr>
        <w:t>ubstances</w:t>
      </w:r>
    </w:p>
    <w:p w:rsidR="00B92374" w:rsidRDefault="00B92374" w:rsidP="00746E8D">
      <w:r w:rsidRPr="00B92374">
        <w:t>Any Cat 1 drug precursors that are surplus to requirements must be disposed of in accordance with the Schoo</w:t>
      </w:r>
      <w:r w:rsidR="00C5594F">
        <w:t>l Waste Chemical Disposal P</w:t>
      </w:r>
      <w:r w:rsidRPr="00B92374">
        <w:t>rocedure.  The waste chemical disposal form</w:t>
      </w:r>
      <w:r w:rsidR="00881D3C">
        <w:t>,</w:t>
      </w:r>
      <w:r w:rsidRPr="00B92374">
        <w:t xml:space="preserve"> available on line</w:t>
      </w:r>
      <w:r w:rsidR="006D2F3F">
        <w:t xml:space="preserve"> </w:t>
      </w:r>
      <w:hyperlink r:id="rId8" w:history="1">
        <w:r w:rsidR="006D2F3F" w:rsidRPr="00113674">
          <w:rPr>
            <w:rStyle w:val="Hyperlink"/>
          </w:rPr>
          <w:t>http://www.ch.qub.ac.uk/qubonly/forms/forms.html</w:t>
        </w:r>
      </w:hyperlink>
      <w:r w:rsidR="00E51D76">
        <w:t xml:space="preserve"> </w:t>
      </w:r>
      <w:r w:rsidR="006D2F3F">
        <w:t>or</w:t>
      </w:r>
      <w:r>
        <w:t xml:space="preserve"> from the School Safety Officer</w:t>
      </w:r>
      <w:r w:rsidR="00881D3C">
        <w:t>,</w:t>
      </w:r>
      <w:r w:rsidRPr="00B92374">
        <w:t xml:space="preserve"> must be filled in and sent to the School Safety Officer for approval.  Once approved the item for disposal must have this waste form attached securely to the bottle/container and kept in its secure location until it is collected by the University approved licensed clinical waste disposal company SRLC</w:t>
      </w:r>
      <w:r>
        <w:t xml:space="preserve"> for secure disposal.</w:t>
      </w:r>
    </w:p>
    <w:p w:rsidR="007C5859" w:rsidRPr="00B92374" w:rsidRDefault="007C5859" w:rsidP="00746E8D">
      <w:r>
        <w:t>Cat 2 substances may be disposed of using the standard School Waste Chemical Disposal procedure.</w:t>
      </w:r>
    </w:p>
    <w:p w:rsidR="008F289C" w:rsidRPr="008F289C" w:rsidRDefault="008F289C" w:rsidP="00746E8D">
      <w:r>
        <w:t xml:space="preserve"> </w:t>
      </w:r>
    </w:p>
    <w:p w:rsidR="00881D3C" w:rsidRDefault="008F289C" w:rsidP="00746E8D">
      <w:r>
        <w:t xml:space="preserve"> </w:t>
      </w:r>
    </w:p>
    <w:p w:rsidR="00881D3C" w:rsidRDefault="00881D3C">
      <w:r>
        <w:br w:type="page"/>
      </w:r>
    </w:p>
    <w:p w:rsidR="00881D3C" w:rsidRPr="00881D3C" w:rsidRDefault="00881D3C" w:rsidP="00881D3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en-GB"/>
        </w:rPr>
      </w:pPr>
      <w:r w:rsidRPr="00881D3C">
        <w:rPr>
          <w:rFonts w:ascii="Garamond" w:eastAsia="Times New Roman" w:hAnsi="Garamond" w:cs="Times New Roman"/>
          <w:sz w:val="24"/>
          <w:szCs w:val="20"/>
          <w:lang w:eastAsia="en-GB"/>
        </w:rPr>
        <w:object w:dxaOrig="3540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5pt;height:87.2pt" o:ole="">
            <v:imagedata r:id="rId9" o:title=""/>
          </v:shape>
          <o:OLEObject Type="Embed" ProgID="MSPhotoEd.3" ShapeID="_x0000_i1025" DrawAspect="Content" ObjectID="_1436858816" r:id="rId10"/>
        </w:object>
      </w:r>
    </w:p>
    <w:p w:rsidR="00881D3C" w:rsidRPr="00881D3C" w:rsidRDefault="00881D3C" w:rsidP="00881D3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en-GB"/>
        </w:rPr>
      </w:pPr>
    </w:p>
    <w:p w:rsidR="00881D3C" w:rsidRPr="00881D3C" w:rsidRDefault="00881D3C" w:rsidP="00881D3C">
      <w:pPr>
        <w:widowControl w:val="0"/>
        <w:tabs>
          <w:tab w:val="left" w:pos="-720"/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bookmarkStart w:id="1" w:name="Unit"/>
      <w:r w:rsidRPr="00881D3C">
        <w:rPr>
          <w:rFonts w:ascii="Arial" w:eastAsia="Times New Roman" w:hAnsi="Arial" w:cs="Arial"/>
          <w:spacing w:val="-3"/>
          <w:sz w:val="20"/>
          <w:szCs w:val="20"/>
          <w:lang w:eastAsia="en-GB"/>
        </w:rPr>
        <w:t>Drugs Licensing</w:t>
      </w:r>
      <w:bookmarkEnd w:id="1"/>
      <w:r w:rsidRPr="00881D3C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&amp; Compliance Unit</w:t>
      </w:r>
    </w:p>
    <w:p w:rsidR="00881D3C" w:rsidRPr="00881D3C" w:rsidRDefault="00881D3C" w:rsidP="00881D3C">
      <w:pPr>
        <w:widowControl w:val="0"/>
        <w:tabs>
          <w:tab w:val="left" w:pos="-720"/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bookmarkStart w:id="2" w:name="address"/>
      <w:r w:rsidRPr="00881D3C">
        <w:rPr>
          <w:rFonts w:ascii="Arial" w:eastAsia="Times New Roman" w:hAnsi="Arial" w:cs="Arial"/>
          <w:spacing w:val="-3"/>
          <w:sz w:val="20"/>
          <w:szCs w:val="20"/>
          <w:lang w:eastAsia="en-GB"/>
        </w:rPr>
        <w:t>4</w:t>
      </w:r>
      <w:r w:rsidRPr="00881D3C">
        <w:rPr>
          <w:rFonts w:ascii="Arial" w:eastAsia="Times New Roman" w:hAnsi="Arial" w:cs="Arial"/>
          <w:spacing w:val="-3"/>
          <w:sz w:val="20"/>
          <w:szCs w:val="20"/>
          <w:vertAlign w:val="superscript"/>
          <w:lang w:eastAsia="en-GB"/>
        </w:rPr>
        <w:t>th</w:t>
      </w:r>
      <w:r w:rsidRPr="00881D3C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81D3C">
            <w:rPr>
              <w:rFonts w:ascii="Arial" w:eastAsia="Times New Roman" w:hAnsi="Arial" w:cs="Arial"/>
              <w:spacing w:val="-3"/>
              <w:sz w:val="20"/>
              <w:szCs w:val="20"/>
              <w:lang w:eastAsia="en-GB"/>
            </w:rPr>
            <w:t>Floor</w:t>
          </w:r>
        </w:smartTag>
        <w:r w:rsidRPr="00881D3C">
          <w:rPr>
            <w:rFonts w:ascii="Arial" w:eastAsia="Times New Roman" w:hAnsi="Arial" w:cs="Arial"/>
            <w:spacing w:val="-3"/>
            <w:sz w:val="20"/>
            <w:szCs w:val="20"/>
            <w:lang w:eastAsia="en-GB"/>
          </w:rPr>
          <w:t xml:space="preserve"> </w:t>
        </w:r>
        <w:smartTag w:uri="urn:schemas-microsoft-com:office:smarttags" w:element="PlaceName">
          <w:r w:rsidRPr="00881D3C">
            <w:rPr>
              <w:rFonts w:ascii="Arial" w:eastAsia="Times New Roman" w:hAnsi="Arial" w:cs="Arial"/>
              <w:spacing w:val="-3"/>
              <w:sz w:val="20"/>
              <w:szCs w:val="20"/>
              <w:lang w:eastAsia="en-GB"/>
            </w:rPr>
            <w:t>Fry</w:t>
          </w:r>
        </w:smartTag>
        <w:r w:rsidRPr="00881D3C">
          <w:rPr>
            <w:rFonts w:ascii="Arial" w:eastAsia="Times New Roman" w:hAnsi="Arial" w:cs="Arial"/>
            <w:spacing w:val="-3"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881D3C">
            <w:rPr>
              <w:rFonts w:ascii="Arial" w:eastAsia="Times New Roman" w:hAnsi="Arial" w:cs="Arial"/>
              <w:spacing w:val="-3"/>
              <w:sz w:val="20"/>
              <w:szCs w:val="20"/>
              <w:lang w:eastAsia="en-GB"/>
            </w:rPr>
            <w:t>Building</w:t>
          </w:r>
        </w:smartTag>
      </w:smartTag>
      <w:r w:rsidRPr="00881D3C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81D3C">
            <w:rPr>
              <w:rFonts w:ascii="Arial" w:eastAsia="Times New Roman" w:hAnsi="Arial" w:cs="Arial"/>
              <w:spacing w:val="-3"/>
              <w:sz w:val="20"/>
              <w:szCs w:val="20"/>
              <w:lang w:eastAsia="en-GB"/>
            </w:rPr>
            <w:t>2 Marsham Street</w:t>
          </w:r>
        </w:smartTag>
        <w:r w:rsidRPr="00881D3C">
          <w:rPr>
            <w:rFonts w:ascii="Arial" w:eastAsia="Times New Roman" w:hAnsi="Arial" w:cs="Arial"/>
            <w:spacing w:val="-3"/>
            <w:sz w:val="20"/>
            <w:szCs w:val="20"/>
            <w:lang w:eastAsia="en-GB"/>
          </w:rPr>
          <w:t xml:space="preserve">, </w:t>
        </w:r>
        <w:smartTag w:uri="urn:schemas-microsoft-com:office:smarttags" w:element="City">
          <w:r w:rsidRPr="00881D3C">
            <w:rPr>
              <w:rFonts w:ascii="Arial" w:eastAsia="Times New Roman" w:hAnsi="Arial" w:cs="Arial"/>
              <w:spacing w:val="-3"/>
              <w:sz w:val="20"/>
              <w:szCs w:val="20"/>
              <w:lang w:eastAsia="en-GB"/>
            </w:rPr>
            <w:t>London</w:t>
          </w:r>
        </w:smartTag>
        <w:r w:rsidRPr="00881D3C">
          <w:rPr>
            <w:rFonts w:ascii="Arial" w:eastAsia="Times New Roman" w:hAnsi="Arial" w:cs="Arial"/>
            <w:spacing w:val="-3"/>
            <w:sz w:val="20"/>
            <w:szCs w:val="20"/>
            <w:lang w:eastAsia="en-GB"/>
          </w:rPr>
          <w:t xml:space="preserve"> </w:t>
        </w:r>
        <w:smartTag w:uri="urn:schemas-microsoft-com:office:smarttags" w:element="PostalCode">
          <w:r w:rsidRPr="00881D3C">
            <w:rPr>
              <w:rFonts w:ascii="Arial" w:eastAsia="Times New Roman" w:hAnsi="Arial" w:cs="Arial"/>
              <w:spacing w:val="-3"/>
              <w:sz w:val="20"/>
              <w:szCs w:val="20"/>
              <w:lang w:eastAsia="en-GB"/>
            </w:rPr>
            <w:t xml:space="preserve">SW1P </w:t>
          </w:r>
          <w:bookmarkEnd w:id="2"/>
          <w:r w:rsidRPr="00881D3C">
            <w:rPr>
              <w:rFonts w:ascii="Arial" w:eastAsia="Times New Roman" w:hAnsi="Arial" w:cs="Arial"/>
              <w:spacing w:val="-3"/>
              <w:sz w:val="20"/>
              <w:szCs w:val="20"/>
              <w:lang w:eastAsia="en-GB"/>
            </w:rPr>
            <w:t>4DF</w:t>
          </w:r>
        </w:smartTag>
      </w:smartTag>
    </w:p>
    <w:p w:rsidR="00881D3C" w:rsidRPr="00881D3C" w:rsidRDefault="00881D3C" w:rsidP="00881D3C">
      <w:pPr>
        <w:widowControl w:val="0"/>
        <w:tabs>
          <w:tab w:val="left" w:pos="-720"/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881D3C">
        <w:rPr>
          <w:rFonts w:ascii="Arial" w:eastAsia="Times New Roman" w:hAnsi="Arial" w:cs="Arial"/>
          <w:spacing w:val="-3"/>
          <w:sz w:val="20"/>
          <w:szCs w:val="20"/>
          <w:lang w:eastAsia="en-GB"/>
        </w:rPr>
        <w:t>Tel: 020 7035 8972Fax: 020 7035 6161</w:t>
      </w:r>
    </w:p>
    <w:p w:rsidR="00881D3C" w:rsidRPr="00881D3C" w:rsidRDefault="00881D3C" w:rsidP="00881D3C">
      <w:pPr>
        <w:widowControl w:val="0"/>
        <w:tabs>
          <w:tab w:val="left" w:pos="-720"/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881D3C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E-mail </w:t>
      </w:r>
      <w:hyperlink r:id="rId11" w:history="1">
        <w:r w:rsidRPr="00881D3C">
          <w:rPr>
            <w:rFonts w:ascii="Arial" w:eastAsia="Times New Roman" w:hAnsi="Arial" w:cs="Arial"/>
            <w:color w:val="0000FF"/>
            <w:spacing w:val="-3"/>
            <w:sz w:val="20"/>
            <w:szCs w:val="20"/>
            <w:u w:val="single"/>
            <w:lang w:eastAsia="en-GB"/>
          </w:rPr>
          <w:t>licensing_enquiry.aadu@homeoffice.gsi.gov.uk</w:t>
        </w:r>
      </w:hyperlink>
    </w:p>
    <w:p w:rsidR="00881D3C" w:rsidRPr="00881D3C" w:rsidRDefault="00881D3C" w:rsidP="00881D3C">
      <w:pPr>
        <w:widowControl w:val="0"/>
        <w:tabs>
          <w:tab w:val="left" w:pos="-720"/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881D3C">
        <w:rPr>
          <w:rFonts w:ascii="Arial" w:eastAsia="Times New Roman" w:hAnsi="Arial" w:cs="Arial"/>
          <w:spacing w:val="-3"/>
          <w:sz w:val="20"/>
          <w:szCs w:val="20"/>
          <w:lang w:eastAsia="en-GB"/>
        </w:rPr>
        <w:t>http://drugs.homeoffice.gov.uk/drugs-laws/licensing</w:t>
      </w:r>
    </w:p>
    <w:p w:rsidR="00881D3C" w:rsidRPr="00881D3C" w:rsidRDefault="00881D3C" w:rsidP="00881D3C">
      <w:pPr>
        <w:widowControl w:val="0"/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en-GB"/>
        </w:rPr>
      </w:pPr>
    </w:p>
    <w:p w:rsidR="00881D3C" w:rsidRPr="00881D3C" w:rsidRDefault="00881D3C" w:rsidP="00881D3C">
      <w:pPr>
        <w:widowControl w:val="0"/>
        <w:suppressAutoHyphens/>
        <w:spacing w:after="0" w:line="240" w:lineRule="auto"/>
        <w:ind w:right="113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  <w:r w:rsidRPr="00881D3C"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  <w:t>Notification of Theft/Unaccounted Loss of Controlled Drugs/Category 1 Precursors</w:t>
      </w:r>
    </w:p>
    <w:p w:rsidR="00881D3C" w:rsidRPr="00881D3C" w:rsidRDefault="00881D3C" w:rsidP="00881D3C">
      <w:pPr>
        <w:widowControl w:val="0"/>
        <w:suppressAutoHyphens/>
        <w:spacing w:after="0" w:line="240" w:lineRule="auto"/>
        <w:ind w:left="737" w:right="851"/>
        <w:rPr>
          <w:rFonts w:ascii="Arial" w:eastAsia="Times New Roman" w:hAnsi="Arial" w:cs="Arial"/>
          <w:sz w:val="24"/>
          <w:szCs w:val="20"/>
          <w:lang w:eastAsia="en-GB"/>
        </w:rPr>
      </w:pPr>
    </w:p>
    <w:p w:rsidR="00881D3C" w:rsidRPr="00881D3C" w:rsidRDefault="00881D3C" w:rsidP="00881D3C">
      <w:pPr>
        <w:widowControl w:val="0"/>
        <w:suppressAutoHyphens/>
        <w:spacing w:after="0" w:line="240" w:lineRule="auto"/>
        <w:ind w:left="-142" w:right="-1"/>
        <w:rPr>
          <w:rFonts w:ascii="Arial" w:eastAsia="Times New Roman" w:hAnsi="Arial" w:cs="Arial"/>
          <w:sz w:val="24"/>
          <w:szCs w:val="20"/>
          <w:lang w:eastAsia="en-GB"/>
        </w:rPr>
      </w:pPr>
      <w:r w:rsidRPr="00881D3C">
        <w:rPr>
          <w:rFonts w:ascii="Arial" w:eastAsia="Times New Roman" w:hAnsi="Arial" w:cs="Arial"/>
          <w:sz w:val="24"/>
          <w:szCs w:val="20"/>
          <w:lang w:eastAsia="en-GB"/>
        </w:rPr>
        <w:t>Please complete the below form and submit to the Drugs Licensing and Compliance Unit at the above address.</w:t>
      </w:r>
    </w:p>
    <w:p w:rsidR="00881D3C" w:rsidRPr="00881D3C" w:rsidRDefault="00881D3C" w:rsidP="00881D3C">
      <w:pPr>
        <w:widowControl w:val="0"/>
        <w:suppressAutoHyphens/>
        <w:spacing w:after="0" w:line="240" w:lineRule="auto"/>
        <w:ind w:left="737" w:right="851"/>
        <w:rPr>
          <w:rFonts w:ascii="Arial" w:eastAsia="Times New Roman" w:hAnsi="Arial" w:cs="Arial"/>
          <w:b/>
          <w:caps/>
          <w:sz w:val="24"/>
          <w:szCs w:val="20"/>
          <w:lang w:eastAsia="en-GB"/>
        </w:rPr>
      </w:pPr>
      <w:bookmarkStart w:id="3" w:name="Letter_Title"/>
      <w:bookmarkEnd w:id="3"/>
      <w:r w:rsidRPr="00881D3C">
        <w:rPr>
          <w:rFonts w:ascii="Arial" w:eastAsia="Times New Roman" w:hAnsi="Arial" w:cs="Arial"/>
          <w:b/>
          <w:caps/>
          <w:sz w:val="24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344"/>
      </w:tblGrid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  <w:p w:rsidR="00881D3C" w:rsidRPr="00881D3C" w:rsidRDefault="00881D3C" w:rsidP="00881D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Name of Licensee: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Address of Licensee: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Home Office Ref No: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Date of Theft/Loss: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Has there been a delay in reporting the Theft/Loss? If so please state the reason for the delay.</w:t>
            </w: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-53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Place of Theft/Loss (if different from above):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-53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Details of Controlled Drugs/Precursors Stolen/Lost: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Circumstances of Theft/Loss: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Action Taken: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-53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Police Contact &amp; Reference Number: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  <w:tr w:rsidR="00881D3C" w:rsidRPr="00881D3C" w:rsidTr="00A61AF7">
        <w:tc>
          <w:tcPr>
            <w:tcW w:w="4695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-53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881D3C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Name of person completing this form:</w:t>
            </w:r>
          </w:p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  <w:tc>
          <w:tcPr>
            <w:tcW w:w="4344" w:type="dxa"/>
          </w:tcPr>
          <w:p w:rsidR="00881D3C" w:rsidRPr="00881D3C" w:rsidRDefault="00881D3C" w:rsidP="00881D3C">
            <w:pPr>
              <w:widowControl w:val="0"/>
              <w:suppressAutoHyphens/>
              <w:spacing w:after="0" w:line="240" w:lineRule="auto"/>
              <w:ind w:right="851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en-GB"/>
              </w:rPr>
            </w:pPr>
          </w:p>
        </w:tc>
      </w:tr>
    </w:tbl>
    <w:p w:rsidR="00881D3C" w:rsidRPr="00881D3C" w:rsidRDefault="00881D3C" w:rsidP="00881D3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:rsidR="00DD1743" w:rsidRPr="00744B47" w:rsidRDefault="00881D3C" w:rsidP="00744B47">
      <w:pPr>
        <w:widowControl w:val="0"/>
        <w:suppressAutoHyphens/>
        <w:spacing w:after="0" w:line="240" w:lineRule="auto"/>
        <w:ind w:left="-142" w:right="-1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r w:rsidRPr="00881D3C">
        <w:rPr>
          <w:rFonts w:ascii="Arial" w:eastAsia="Times New Roman" w:hAnsi="Arial" w:cs="Arial"/>
          <w:sz w:val="24"/>
          <w:szCs w:val="20"/>
          <w:lang w:eastAsia="en-GB"/>
        </w:rPr>
        <w:t>A full written report must also be submitted with any details of remedial actions and/or changes to procedures/processes to the address above when enquiries have been completed.</w:t>
      </w:r>
    </w:p>
    <w:sectPr w:rsidR="00DD1743" w:rsidRPr="00744B4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F2" w:rsidRDefault="009A3DF2" w:rsidP="00881D3C">
      <w:pPr>
        <w:spacing w:after="0" w:line="240" w:lineRule="auto"/>
      </w:pPr>
      <w:r>
        <w:separator/>
      </w:r>
    </w:p>
  </w:endnote>
  <w:endnote w:type="continuationSeparator" w:id="0">
    <w:p w:rsidR="009A3DF2" w:rsidRDefault="009A3DF2" w:rsidP="0088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70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D3C" w:rsidRDefault="00881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D3C" w:rsidRDefault="00881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F2" w:rsidRDefault="009A3DF2" w:rsidP="00881D3C">
      <w:pPr>
        <w:spacing w:after="0" w:line="240" w:lineRule="auto"/>
      </w:pPr>
      <w:r>
        <w:separator/>
      </w:r>
    </w:p>
  </w:footnote>
  <w:footnote w:type="continuationSeparator" w:id="0">
    <w:p w:rsidR="009A3DF2" w:rsidRDefault="009A3DF2" w:rsidP="00881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105791"/>
    <w:rsid w:val="00130D1E"/>
    <w:rsid w:val="0017341D"/>
    <w:rsid w:val="001B5243"/>
    <w:rsid w:val="00393F07"/>
    <w:rsid w:val="00460CAE"/>
    <w:rsid w:val="004A1A1A"/>
    <w:rsid w:val="00626A9C"/>
    <w:rsid w:val="0069591D"/>
    <w:rsid w:val="006B579E"/>
    <w:rsid w:val="006B79F0"/>
    <w:rsid w:val="006D2F3F"/>
    <w:rsid w:val="00744B47"/>
    <w:rsid w:val="00746E8D"/>
    <w:rsid w:val="00764F9E"/>
    <w:rsid w:val="007A1F99"/>
    <w:rsid w:val="007C5859"/>
    <w:rsid w:val="00802F95"/>
    <w:rsid w:val="0080477B"/>
    <w:rsid w:val="00881D3C"/>
    <w:rsid w:val="008C0689"/>
    <w:rsid w:val="008D4BC5"/>
    <w:rsid w:val="008F289C"/>
    <w:rsid w:val="009A3DF2"/>
    <w:rsid w:val="00AF65BD"/>
    <w:rsid w:val="00B120EE"/>
    <w:rsid w:val="00B47873"/>
    <w:rsid w:val="00B92374"/>
    <w:rsid w:val="00BA6823"/>
    <w:rsid w:val="00C429DA"/>
    <w:rsid w:val="00C5594F"/>
    <w:rsid w:val="00C807FC"/>
    <w:rsid w:val="00CF120A"/>
    <w:rsid w:val="00DD1743"/>
    <w:rsid w:val="00DF35CA"/>
    <w:rsid w:val="00E51D76"/>
    <w:rsid w:val="00E86417"/>
    <w:rsid w:val="00F17773"/>
    <w:rsid w:val="00F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A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3C"/>
  </w:style>
  <w:style w:type="paragraph" w:styleId="Footer">
    <w:name w:val="footer"/>
    <w:basedOn w:val="Normal"/>
    <w:link w:val="FooterChar"/>
    <w:uiPriority w:val="99"/>
    <w:unhideWhenUsed/>
    <w:rsid w:val="0088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A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3C"/>
  </w:style>
  <w:style w:type="paragraph" w:styleId="Footer">
    <w:name w:val="footer"/>
    <w:basedOn w:val="Normal"/>
    <w:link w:val="FooterChar"/>
    <w:uiPriority w:val="99"/>
    <w:unhideWhenUsed/>
    <w:rsid w:val="0088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.qub.ac.uk/qubonly/forms/for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.qub.ac.uk/qubonly/forms/forms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censing_enquiry.aadu@homeoffice.gsi.gov.uk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 </cp:lastModifiedBy>
  <cp:revision>2</cp:revision>
  <dcterms:created xsi:type="dcterms:W3CDTF">2013-08-01T09:41:00Z</dcterms:created>
  <dcterms:modified xsi:type="dcterms:W3CDTF">2013-08-01T09:41:00Z</dcterms:modified>
</cp:coreProperties>
</file>